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center"/>
        <w:rPr>
          <w:rFonts w:ascii="Microsoft Yahei" w:hAnsi="Microsoft Yahei" w:eastAsia="Microsoft Yahei" w:cs="Microsoft Yahei"/>
          <w:sz w:val="42"/>
          <w:szCs w:val="42"/>
        </w:rPr>
      </w:pPr>
      <w:r>
        <w:rPr>
          <w:rFonts w:hint="default" w:ascii="Microsoft Yahei" w:hAnsi="Microsoft Yahei" w:eastAsia="Microsoft Yahei" w:cs="Microsoft Yahei"/>
          <w:kern w:val="0"/>
          <w:sz w:val="42"/>
          <w:szCs w:val="42"/>
          <w:lang w:val="en-US" w:eastAsia="zh-CN" w:bidi="ar"/>
        </w:rPr>
        <w:t>最高人民法院 最高人民检察院关于办理窝藏、包庇刑事案件适用法律若干问题的解释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  <w:rPr>
          <w:rFonts w:hint="eastAsia" w:ascii="Arial" w:hAnsi="Arial" w:eastAsia="Arial" w:cs="Arial"/>
          <w:i w:val="0"/>
          <w:caps w:val="0"/>
          <w:color w:val="2F2F2F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  <w:rPr>
          <w:rFonts w:hint="eastAsia" w:ascii="Arial" w:hAnsi="Arial" w:eastAsia="Arial" w:cs="Arial"/>
          <w:i w:val="0"/>
          <w:caps w:val="0"/>
          <w:color w:val="2F2F2F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</w:pPr>
      <w:bookmarkStart w:id="0" w:name="_GoBack"/>
      <w:bookmarkEnd w:id="0"/>
      <w:r>
        <w:rPr>
          <w:rFonts w:hint="eastAsia" w:ascii="Arial" w:hAnsi="Arial" w:eastAsia="Arial" w:cs="Arial"/>
          <w:i w:val="0"/>
          <w:caps w:val="0"/>
          <w:color w:val="2F2F2F"/>
          <w:spacing w:val="0"/>
          <w:sz w:val="27"/>
          <w:szCs w:val="27"/>
          <w:shd w:val="clear" w:fill="FFFFFF"/>
        </w:rPr>
        <w:t>　　《最高人民法院、最高人民检察院关于办理窝藏、包庇刑事案件适用法律若干问题的解释》已于2020年3月2日由最高人民法院审判委员会第1794次会议、2020年12月28日由最高人民检察院第十三届检察委员会第五十八次会议通过，现予公布，自2021年8月11日起施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  <w:jc w:val="right"/>
      </w:pPr>
      <w:r>
        <w:rPr>
          <w:rFonts w:hint="default" w:ascii="Arial" w:hAnsi="Arial" w:eastAsia="Arial" w:cs="Arial"/>
          <w:i w:val="0"/>
          <w:caps w:val="0"/>
          <w:color w:val="2F2F2F"/>
          <w:spacing w:val="0"/>
          <w:sz w:val="27"/>
          <w:szCs w:val="27"/>
          <w:shd w:val="clear" w:fill="FFFFFF"/>
        </w:rPr>
        <w:t>最高人民法院 最高人民检察院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  <w:jc w:val="right"/>
      </w:pPr>
      <w:r>
        <w:rPr>
          <w:rFonts w:hint="default" w:ascii="Arial" w:hAnsi="Arial" w:eastAsia="Arial" w:cs="Arial"/>
          <w:i w:val="0"/>
          <w:caps w:val="0"/>
          <w:color w:val="2F2F2F"/>
          <w:spacing w:val="0"/>
          <w:sz w:val="27"/>
          <w:szCs w:val="27"/>
          <w:shd w:val="clear" w:fill="FFFFFF"/>
        </w:rPr>
        <w:t>2021年8月9日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  <w:jc w:val="center"/>
      </w:pPr>
      <w:r>
        <w:rPr>
          <w:rFonts w:hint="default" w:ascii="Arial" w:hAnsi="Arial" w:eastAsia="Arial" w:cs="Arial"/>
          <w:i w:val="0"/>
          <w:caps w:val="0"/>
          <w:color w:val="2F2F2F"/>
          <w:spacing w:val="0"/>
          <w:sz w:val="27"/>
          <w:szCs w:val="27"/>
          <w:shd w:val="clear" w:fill="FFFFFF"/>
        </w:rPr>
        <w:t>法释〔2021〕16号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  <w:jc w:val="center"/>
      </w:pPr>
      <w:r>
        <w:rPr>
          <w:rStyle w:val="4"/>
          <w:rFonts w:hint="default" w:ascii="Arial" w:hAnsi="Arial" w:eastAsia="Arial" w:cs="Arial"/>
          <w:i w:val="0"/>
          <w:caps w:val="0"/>
          <w:color w:val="2F2F2F"/>
          <w:spacing w:val="0"/>
          <w:sz w:val="27"/>
          <w:szCs w:val="27"/>
          <w:shd w:val="clear" w:fill="FFFFFF"/>
        </w:rPr>
        <w:t>最高人民法院  最高人民检察院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  <w:jc w:val="center"/>
      </w:pPr>
      <w:r>
        <w:rPr>
          <w:rStyle w:val="4"/>
          <w:rFonts w:hint="default" w:ascii="Arial" w:hAnsi="Arial" w:eastAsia="Arial" w:cs="Arial"/>
          <w:i w:val="0"/>
          <w:caps w:val="0"/>
          <w:color w:val="2F2F2F"/>
          <w:spacing w:val="0"/>
          <w:sz w:val="27"/>
          <w:szCs w:val="27"/>
          <w:shd w:val="clear" w:fill="FFFFFF"/>
        </w:rPr>
        <w:t>关于办理窝藏、包庇刑事案件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  <w:jc w:val="center"/>
      </w:pPr>
      <w:r>
        <w:rPr>
          <w:rStyle w:val="4"/>
          <w:rFonts w:hint="default" w:ascii="Arial" w:hAnsi="Arial" w:eastAsia="Arial" w:cs="Arial"/>
          <w:i w:val="0"/>
          <w:caps w:val="0"/>
          <w:color w:val="2F2F2F"/>
          <w:spacing w:val="0"/>
          <w:sz w:val="27"/>
          <w:szCs w:val="27"/>
          <w:shd w:val="clear" w:fill="FFFFFF"/>
        </w:rPr>
        <w:t>适用法律若干问题的解释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  <w:jc w:val="center"/>
      </w:pPr>
      <w:r>
        <w:rPr>
          <w:rFonts w:hint="default" w:ascii="Arial" w:hAnsi="Arial" w:eastAsia="Arial" w:cs="Arial"/>
          <w:i w:val="0"/>
          <w:caps w:val="0"/>
          <w:color w:val="2F2F2F"/>
          <w:spacing w:val="0"/>
          <w:sz w:val="27"/>
          <w:szCs w:val="27"/>
          <w:shd w:val="clear" w:fill="FFFFFF"/>
        </w:rPr>
        <w:t>（2020年3月2日最高人民法院审判委员会第1794次会议、2020年12月28日最高人民检察院第十三届检察委员会第五十八次会议通过，自2021年8月11日起施行）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</w:pPr>
      <w:r>
        <w:rPr>
          <w:rFonts w:hint="default" w:ascii="Arial" w:hAnsi="Arial" w:eastAsia="Arial" w:cs="Arial"/>
          <w:i w:val="0"/>
          <w:caps w:val="0"/>
          <w:color w:val="2F2F2F"/>
          <w:spacing w:val="0"/>
          <w:sz w:val="27"/>
          <w:szCs w:val="27"/>
          <w:shd w:val="clear" w:fill="FFFFFF"/>
        </w:rPr>
        <w:t>　　为依法惩治窝藏、包庇犯罪，根据《中华人民共和国刑法》《中华人民共和国刑事诉讼法》的有关规定，结合司法工作实际，现就办理窝藏、包庇刑事案件适用法律的若干问题解释如下：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</w:pPr>
      <w:r>
        <w:rPr>
          <w:rStyle w:val="4"/>
          <w:rFonts w:hint="default" w:ascii="Arial" w:hAnsi="Arial" w:eastAsia="Arial" w:cs="Arial"/>
          <w:i w:val="0"/>
          <w:caps w:val="0"/>
          <w:color w:val="2F2F2F"/>
          <w:spacing w:val="0"/>
          <w:sz w:val="27"/>
          <w:szCs w:val="27"/>
          <w:shd w:val="clear" w:fill="FFFFFF"/>
        </w:rPr>
        <w:t>　　第一条 </w:t>
      </w:r>
      <w:r>
        <w:rPr>
          <w:rFonts w:hint="default" w:ascii="Arial" w:hAnsi="Arial" w:eastAsia="Arial" w:cs="Arial"/>
          <w:i w:val="0"/>
          <w:caps w:val="0"/>
          <w:color w:val="2F2F2F"/>
          <w:spacing w:val="0"/>
          <w:sz w:val="27"/>
          <w:szCs w:val="27"/>
          <w:shd w:val="clear" w:fill="FFFFFF"/>
        </w:rPr>
        <w:t> 明知是犯罪的人，为帮助其逃匿，实施下列行为之一的，应当依照刑法第三百一十条第一款的规定，以窝藏罪定罪处罚：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</w:pPr>
      <w:r>
        <w:rPr>
          <w:rFonts w:hint="default" w:ascii="Arial" w:hAnsi="Arial" w:eastAsia="Arial" w:cs="Arial"/>
          <w:i w:val="0"/>
          <w:caps w:val="0"/>
          <w:color w:val="2F2F2F"/>
          <w:spacing w:val="0"/>
          <w:sz w:val="27"/>
          <w:szCs w:val="27"/>
          <w:shd w:val="clear" w:fill="FFFFFF"/>
        </w:rPr>
        <w:t>　　（一）为犯罪的人提供房屋或者其他可以用于隐藏的处所的；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</w:pPr>
      <w:r>
        <w:rPr>
          <w:rFonts w:hint="default" w:ascii="Arial" w:hAnsi="Arial" w:eastAsia="Arial" w:cs="Arial"/>
          <w:i w:val="0"/>
          <w:caps w:val="0"/>
          <w:color w:val="2F2F2F"/>
          <w:spacing w:val="0"/>
          <w:sz w:val="27"/>
          <w:szCs w:val="27"/>
          <w:shd w:val="clear" w:fill="FFFFFF"/>
        </w:rPr>
        <w:t>　　（二）为犯罪的人提供车辆、船只、航空器等交通工具，或者提供手机等通讯工具的；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</w:pPr>
      <w:r>
        <w:rPr>
          <w:rFonts w:hint="default" w:ascii="Arial" w:hAnsi="Arial" w:eastAsia="Arial" w:cs="Arial"/>
          <w:i w:val="0"/>
          <w:caps w:val="0"/>
          <w:color w:val="2F2F2F"/>
          <w:spacing w:val="0"/>
          <w:sz w:val="27"/>
          <w:szCs w:val="27"/>
          <w:shd w:val="clear" w:fill="FFFFFF"/>
        </w:rPr>
        <w:t>　　（三）为犯罪的人提供金钱的；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</w:pPr>
      <w:r>
        <w:rPr>
          <w:rFonts w:hint="default" w:ascii="Arial" w:hAnsi="Arial" w:eastAsia="Arial" w:cs="Arial"/>
          <w:i w:val="0"/>
          <w:caps w:val="0"/>
          <w:color w:val="2F2F2F"/>
          <w:spacing w:val="0"/>
          <w:sz w:val="27"/>
          <w:szCs w:val="27"/>
          <w:shd w:val="clear" w:fill="FFFFFF"/>
        </w:rPr>
        <w:t>　　（四）其他为犯罪的人提供隐藏处所、财物，帮助其逃匿的情形。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</w:pPr>
      <w:r>
        <w:rPr>
          <w:rFonts w:hint="default" w:ascii="Arial" w:hAnsi="Arial" w:eastAsia="Arial" w:cs="Arial"/>
          <w:i w:val="0"/>
          <w:caps w:val="0"/>
          <w:color w:val="2F2F2F"/>
          <w:spacing w:val="0"/>
          <w:sz w:val="27"/>
          <w:szCs w:val="27"/>
          <w:shd w:val="clear" w:fill="FFFFFF"/>
        </w:rPr>
        <w:t>　　保证人在犯罪的人取保候审期间，协助其逃匿，或者明知犯罪的人的藏匿地点、联系方式，但拒绝向司法机关提供的，应当依照刑法第三百一十条第一款的规定，对保证人以窝藏罪定罪处罚。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</w:pPr>
      <w:r>
        <w:rPr>
          <w:rFonts w:hint="default" w:ascii="Arial" w:hAnsi="Arial" w:eastAsia="Arial" w:cs="Arial"/>
          <w:i w:val="0"/>
          <w:caps w:val="0"/>
          <w:color w:val="2F2F2F"/>
          <w:spacing w:val="0"/>
          <w:sz w:val="27"/>
          <w:szCs w:val="27"/>
          <w:shd w:val="clear" w:fill="FFFFFF"/>
        </w:rPr>
        <w:t>　　虽然为犯罪的人提供隐藏处所、财物，但不是出于帮助犯罪的人逃匿的目的，不以窝藏罪定罪处罚；对未履行法定报告义务的行为人，依法移送有关主管机关给予行政处罚。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</w:pPr>
      <w:r>
        <w:rPr>
          <w:rStyle w:val="4"/>
          <w:rFonts w:hint="default" w:ascii="Arial" w:hAnsi="Arial" w:eastAsia="Arial" w:cs="Arial"/>
          <w:i w:val="0"/>
          <w:caps w:val="0"/>
          <w:color w:val="2F2F2F"/>
          <w:spacing w:val="0"/>
          <w:sz w:val="27"/>
          <w:szCs w:val="27"/>
          <w:shd w:val="clear" w:fill="FFFFFF"/>
        </w:rPr>
        <w:t>　　第二条  </w:t>
      </w:r>
      <w:r>
        <w:rPr>
          <w:rFonts w:hint="default" w:ascii="Arial" w:hAnsi="Arial" w:eastAsia="Arial" w:cs="Arial"/>
          <w:i w:val="0"/>
          <w:caps w:val="0"/>
          <w:color w:val="2F2F2F"/>
          <w:spacing w:val="0"/>
          <w:sz w:val="27"/>
          <w:szCs w:val="27"/>
          <w:shd w:val="clear" w:fill="FFFFFF"/>
        </w:rPr>
        <w:t>明知是犯罪的人，为帮助其逃避刑事追究，或者帮助其获得从宽处罚，实施下列行为之一的，应当依照刑法第三百一十条第一款的规定，以包庇罪定罪处罚：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</w:pPr>
      <w:r>
        <w:rPr>
          <w:rFonts w:hint="default" w:ascii="Arial" w:hAnsi="Arial" w:eastAsia="Arial" w:cs="Arial"/>
          <w:i w:val="0"/>
          <w:caps w:val="0"/>
          <w:color w:val="2F2F2F"/>
          <w:spacing w:val="0"/>
          <w:sz w:val="27"/>
          <w:szCs w:val="27"/>
          <w:shd w:val="clear" w:fill="FFFFFF"/>
        </w:rPr>
        <w:t>　　（一）故意顶替犯罪的人欺骗司法机关的；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</w:pPr>
      <w:r>
        <w:rPr>
          <w:rFonts w:hint="default" w:ascii="Arial" w:hAnsi="Arial" w:eastAsia="Arial" w:cs="Arial"/>
          <w:i w:val="0"/>
          <w:caps w:val="0"/>
          <w:color w:val="2F2F2F"/>
          <w:spacing w:val="0"/>
          <w:sz w:val="27"/>
          <w:szCs w:val="27"/>
          <w:shd w:val="clear" w:fill="FFFFFF"/>
        </w:rPr>
        <w:t>　　（二）故意向司法机关作虚假陈述或者提供虚假证明，以证明犯罪的人没有实施犯罪行为，或者犯罪的人所实施行为不构成犯罪的；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</w:pPr>
      <w:r>
        <w:rPr>
          <w:rFonts w:hint="default" w:ascii="Arial" w:hAnsi="Arial" w:eastAsia="Arial" w:cs="Arial"/>
          <w:i w:val="0"/>
          <w:caps w:val="0"/>
          <w:color w:val="2F2F2F"/>
          <w:spacing w:val="0"/>
          <w:sz w:val="27"/>
          <w:szCs w:val="27"/>
          <w:shd w:val="clear" w:fill="FFFFFF"/>
        </w:rPr>
        <w:t>　　（三）故意向司法机关提供虚假证明，以证明犯罪的人具有法定从轻、减轻、免除处罚情节的；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</w:pPr>
      <w:r>
        <w:rPr>
          <w:rFonts w:hint="default" w:ascii="Arial" w:hAnsi="Arial" w:eastAsia="Arial" w:cs="Arial"/>
          <w:i w:val="0"/>
          <w:caps w:val="0"/>
          <w:color w:val="2F2F2F"/>
          <w:spacing w:val="0"/>
          <w:sz w:val="27"/>
          <w:szCs w:val="27"/>
          <w:shd w:val="clear" w:fill="FFFFFF"/>
        </w:rPr>
        <w:t>　　（四）其他作假证明包庇的行为。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</w:pPr>
      <w:r>
        <w:rPr>
          <w:rStyle w:val="4"/>
          <w:rFonts w:hint="default" w:ascii="Arial" w:hAnsi="Arial" w:eastAsia="Arial" w:cs="Arial"/>
          <w:i w:val="0"/>
          <w:caps w:val="0"/>
          <w:color w:val="2F2F2F"/>
          <w:spacing w:val="0"/>
          <w:sz w:val="27"/>
          <w:szCs w:val="27"/>
          <w:shd w:val="clear" w:fill="FFFFFF"/>
        </w:rPr>
        <w:t>　　第三条  </w:t>
      </w:r>
      <w:r>
        <w:rPr>
          <w:rFonts w:hint="default" w:ascii="Arial" w:hAnsi="Arial" w:eastAsia="Arial" w:cs="Arial"/>
          <w:i w:val="0"/>
          <w:caps w:val="0"/>
          <w:color w:val="2F2F2F"/>
          <w:spacing w:val="0"/>
          <w:sz w:val="27"/>
          <w:szCs w:val="27"/>
          <w:shd w:val="clear" w:fill="FFFFFF"/>
        </w:rPr>
        <w:t>明知他人有间谍犯罪或者恐怖主义、极端主义犯罪行为，在司法机关向其调查有关情况、收集有关证据时，拒绝提供，情节严重的，依照刑法第三百一十一条的规定，以拒绝提供间谍犯罪、恐怖主义犯罪、极端主义犯罪证据罪定罪处罚；作假证明包庇的，依照刑法第三百一十条的规定，以包庇罪从重处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</w:pPr>
      <w:r>
        <w:rPr>
          <w:rStyle w:val="4"/>
          <w:rFonts w:hint="default" w:ascii="Arial" w:hAnsi="Arial" w:eastAsia="Arial" w:cs="Arial"/>
          <w:i w:val="0"/>
          <w:caps w:val="0"/>
          <w:color w:val="2F2F2F"/>
          <w:spacing w:val="0"/>
          <w:sz w:val="27"/>
          <w:szCs w:val="27"/>
          <w:shd w:val="clear" w:fill="FFFFFF"/>
        </w:rPr>
        <w:t>　　第四条  </w:t>
      </w:r>
      <w:r>
        <w:rPr>
          <w:rFonts w:hint="default" w:ascii="Arial" w:hAnsi="Arial" w:eastAsia="Arial" w:cs="Arial"/>
          <w:i w:val="0"/>
          <w:caps w:val="0"/>
          <w:color w:val="2F2F2F"/>
          <w:spacing w:val="0"/>
          <w:sz w:val="27"/>
          <w:szCs w:val="27"/>
          <w:shd w:val="clear" w:fill="FFFFFF"/>
        </w:rPr>
        <w:t>窝藏、包庇犯罪的人，具有下列情形之一的，应当认定为刑法第三百一十条第一款规定的“情节严重”：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</w:pPr>
      <w:r>
        <w:rPr>
          <w:rFonts w:hint="default" w:ascii="Arial" w:hAnsi="Arial" w:eastAsia="Arial" w:cs="Arial"/>
          <w:i w:val="0"/>
          <w:caps w:val="0"/>
          <w:color w:val="2F2F2F"/>
          <w:spacing w:val="0"/>
          <w:sz w:val="27"/>
          <w:szCs w:val="27"/>
          <w:shd w:val="clear" w:fill="FFFFFF"/>
        </w:rPr>
        <w:t>　　（一）被窝藏、包庇的人可能被判处无期徒刑以上刑罚的；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</w:pPr>
      <w:r>
        <w:rPr>
          <w:rFonts w:hint="default" w:ascii="Arial" w:hAnsi="Arial" w:eastAsia="Arial" w:cs="Arial"/>
          <w:i w:val="0"/>
          <w:caps w:val="0"/>
          <w:color w:val="2F2F2F"/>
          <w:spacing w:val="0"/>
          <w:sz w:val="27"/>
          <w:szCs w:val="27"/>
          <w:shd w:val="clear" w:fill="FFFFFF"/>
        </w:rPr>
        <w:t>　　（二）被窝藏、包庇的人犯危害国家安全犯罪、恐怖主义或者极端主义犯罪，或者系黑社会性质组织犯罪的组织者、领导者，且可能被判处十年有期徒刑以上刑罚的；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</w:pPr>
      <w:r>
        <w:rPr>
          <w:rFonts w:hint="default" w:ascii="Arial" w:hAnsi="Arial" w:eastAsia="Arial" w:cs="Arial"/>
          <w:i w:val="0"/>
          <w:caps w:val="0"/>
          <w:color w:val="2F2F2F"/>
          <w:spacing w:val="0"/>
          <w:sz w:val="27"/>
          <w:szCs w:val="27"/>
          <w:shd w:val="clear" w:fill="FFFFFF"/>
        </w:rPr>
        <w:t>　　（三）被窝藏、包庇的人系犯罪集团的首要分子，且可能被判处十年有期徒刑以上刑罚的；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</w:pPr>
      <w:r>
        <w:rPr>
          <w:rFonts w:hint="default" w:ascii="Arial" w:hAnsi="Arial" w:eastAsia="Arial" w:cs="Arial"/>
          <w:i w:val="0"/>
          <w:caps w:val="0"/>
          <w:color w:val="2F2F2F"/>
          <w:spacing w:val="0"/>
          <w:sz w:val="27"/>
          <w:szCs w:val="27"/>
          <w:shd w:val="clear" w:fill="FFFFFF"/>
        </w:rPr>
        <w:t>　　（四）被窝藏、包庇的人在被窝藏、包庇期间再次实施故意犯罪，且新罪可能被判处五年有期徒刑以上刑罚的；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</w:pPr>
      <w:r>
        <w:rPr>
          <w:rFonts w:hint="default" w:ascii="Arial" w:hAnsi="Arial" w:eastAsia="Arial" w:cs="Arial"/>
          <w:i w:val="0"/>
          <w:caps w:val="0"/>
          <w:color w:val="2F2F2F"/>
          <w:spacing w:val="0"/>
          <w:sz w:val="27"/>
          <w:szCs w:val="27"/>
          <w:shd w:val="clear" w:fill="FFFFFF"/>
        </w:rPr>
        <w:t>　　（五）多次窝藏、包庇犯罪的人，或者窝藏、包庇多名犯罪的人的；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</w:pPr>
      <w:r>
        <w:rPr>
          <w:rFonts w:hint="default" w:ascii="Arial" w:hAnsi="Arial" w:eastAsia="Arial" w:cs="Arial"/>
          <w:i w:val="0"/>
          <w:caps w:val="0"/>
          <w:color w:val="2F2F2F"/>
          <w:spacing w:val="0"/>
          <w:sz w:val="27"/>
          <w:szCs w:val="27"/>
          <w:shd w:val="clear" w:fill="FFFFFF"/>
        </w:rPr>
        <w:t>　　（六）其他情节严重的情形。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</w:pPr>
      <w:r>
        <w:rPr>
          <w:rFonts w:hint="default" w:ascii="Arial" w:hAnsi="Arial" w:eastAsia="Arial" w:cs="Arial"/>
          <w:i w:val="0"/>
          <w:caps w:val="0"/>
          <w:color w:val="2F2F2F"/>
          <w:spacing w:val="0"/>
          <w:sz w:val="27"/>
          <w:szCs w:val="27"/>
          <w:shd w:val="clear" w:fill="FFFFFF"/>
        </w:rPr>
        <w:t>　　前款所称“可能被判处”刑罚，是指根据被窝藏、包庇的人所犯罪行，在不考虑自首、立功、认罪认罚等从宽处罚情节时应当依法判处的刑罚。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</w:pPr>
      <w:r>
        <w:rPr>
          <w:rStyle w:val="4"/>
          <w:rFonts w:hint="default" w:ascii="Arial" w:hAnsi="Arial" w:eastAsia="Arial" w:cs="Arial"/>
          <w:i w:val="0"/>
          <w:caps w:val="0"/>
          <w:color w:val="2F2F2F"/>
          <w:spacing w:val="0"/>
          <w:sz w:val="27"/>
          <w:szCs w:val="27"/>
          <w:shd w:val="clear" w:fill="FFFFFF"/>
        </w:rPr>
        <w:t>　　第五条  </w:t>
      </w:r>
      <w:r>
        <w:rPr>
          <w:rFonts w:hint="default" w:ascii="Arial" w:hAnsi="Arial" w:eastAsia="Arial" w:cs="Arial"/>
          <w:i w:val="0"/>
          <w:caps w:val="0"/>
          <w:color w:val="2F2F2F"/>
          <w:spacing w:val="0"/>
          <w:sz w:val="27"/>
          <w:szCs w:val="27"/>
          <w:shd w:val="clear" w:fill="FFFFFF"/>
        </w:rPr>
        <w:t>认定刑法第三百一十条第一款规定的“明知”，应当根据案件的客观事实，结合行为人的认知能力，接触被窝藏、包庇的犯罪人的情况，以及行为人和犯罪人的供述等主、客观因素进行认定。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</w:pPr>
      <w:r>
        <w:rPr>
          <w:rFonts w:hint="default" w:ascii="Arial" w:hAnsi="Arial" w:eastAsia="Arial" w:cs="Arial"/>
          <w:i w:val="0"/>
          <w:caps w:val="0"/>
          <w:color w:val="2F2F2F"/>
          <w:spacing w:val="0"/>
          <w:sz w:val="27"/>
          <w:szCs w:val="27"/>
          <w:shd w:val="clear" w:fill="FFFFFF"/>
        </w:rPr>
        <w:t>　　行为人将犯罪的人所犯之罪误认为其他犯罪的，不影响刑法第三百一十条第一款规定的“明知”的认定。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</w:pPr>
      <w:r>
        <w:rPr>
          <w:rFonts w:hint="default" w:ascii="Arial" w:hAnsi="Arial" w:eastAsia="Arial" w:cs="Arial"/>
          <w:i w:val="0"/>
          <w:caps w:val="0"/>
          <w:color w:val="2F2F2F"/>
          <w:spacing w:val="0"/>
          <w:sz w:val="27"/>
          <w:szCs w:val="27"/>
          <w:shd w:val="clear" w:fill="FFFFFF"/>
        </w:rPr>
        <w:t>　　行为人虽然实施了提供隐藏处所、财物等行为，但现有证据不能证明行为人知道犯罪的人实施了犯罪行为的，不能认定为刑法第三百一十条第一款规定的“明知”。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</w:pPr>
      <w:r>
        <w:rPr>
          <w:rStyle w:val="4"/>
          <w:rFonts w:hint="default" w:ascii="Arial" w:hAnsi="Arial" w:eastAsia="Arial" w:cs="Arial"/>
          <w:i w:val="0"/>
          <w:caps w:val="0"/>
          <w:color w:val="2F2F2F"/>
          <w:spacing w:val="0"/>
          <w:sz w:val="27"/>
          <w:szCs w:val="27"/>
          <w:shd w:val="clear" w:fill="FFFFFF"/>
        </w:rPr>
        <w:t>　　第六条  </w:t>
      </w:r>
      <w:r>
        <w:rPr>
          <w:rFonts w:hint="default" w:ascii="Arial" w:hAnsi="Arial" w:eastAsia="Arial" w:cs="Arial"/>
          <w:i w:val="0"/>
          <w:caps w:val="0"/>
          <w:color w:val="2F2F2F"/>
          <w:spacing w:val="0"/>
          <w:sz w:val="27"/>
          <w:szCs w:val="27"/>
          <w:shd w:val="clear" w:fill="FFFFFF"/>
        </w:rPr>
        <w:t>认定窝藏、包庇罪，以被窝藏、包庇的人的行为构成犯罪为前提。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</w:pPr>
      <w:r>
        <w:rPr>
          <w:rFonts w:hint="default" w:ascii="Arial" w:hAnsi="Arial" w:eastAsia="Arial" w:cs="Arial"/>
          <w:i w:val="0"/>
          <w:caps w:val="0"/>
          <w:color w:val="2F2F2F"/>
          <w:spacing w:val="0"/>
          <w:sz w:val="27"/>
          <w:szCs w:val="27"/>
          <w:shd w:val="clear" w:fill="FFFFFF"/>
        </w:rPr>
        <w:t>　　被窝藏、包庇的人实施的犯罪事实清楚，证据确实、充分，但尚未到案、尚未依法裁判或者因不具有刑事责任能力依法未予追究刑事责任的，不影响窝藏、包庇罪的认定。但是，被窝藏、包庇的人归案后被宣告无罪的，应当依照法定程序宣告窝藏、包庇行为人无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</w:pPr>
      <w:r>
        <w:rPr>
          <w:rStyle w:val="4"/>
          <w:rFonts w:hint="default" w:ascii="Arial" w:hAnsi="Arial" w:eastAsia="Arial" w:cs="Arial"/>
          <w:i w:val="0"/>
          <w:caps w:val="0"/>
          <w:color w:val="2F2F2F"/>
          <w:spacing w:val="0"/>
          <w:sz w:val="27"/>
          <w:szCs w:val="27"/>
          <w:shd w:val="clear" w:fill="FFFFFF"/>
        </w:rPr>
        <w:t>　　第七条 </w:t>
      </w:r>
      <w:r>
        <w:rPr>
          <w:rFonts w:hint="default" w:ascii="Arial" w:hAnsi="Arial" w:eastAsia="Arial" w:cs="Arial"/>
          <w:i w:val="0"/>
          <w:caps w:val="0"/>
          <w:color w:val="2F2F2F"/>
          <w:spacing w:val="0"/>
          <w:sz w:val="27"/>
          <w:szCs w:val="27"/>
          <w:shd w:val="clear" w:fill="FFFFFF"/>
        </w:rPr>
        <w:t> 为帮助同一个犯罪的人逃避刑事处罚，实施窝藏、包庇行为，又实施洗钱行为，或者掩饰、隐瞒犯罪所得及其收益行为，或者帮助毁灭证据行为，或者伪证行为的，依照处罚较重的犯罪定罪，并从重处罚，不实行数罪并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</w:pPr>
      <w:r>
        <w:rPr>
          <w:rStyle w:val="4"/>
          <w:rFonts w:hint="default" w:ascii="Arial" w:hAnsi="Arial" w:eastAsia="Arial" w:cs="Arial"/>
          <w:i w:val="0"/>
          <w:caps w:val="0"/>
          <w:color w:val="2F2F2F"/>
          <w:spacing w:val="0"/>
          <w:sz w:val="27"/>
          <w:szCs w:val="27"/>
          <w:shd w:val="clear" w:fill="FFFFFF"/>
        </w:rPr>
        <w:t>　　第八条  </w:t>
      </w:r>
      <w:r>
        <w:rPr>
          <w:rFonts w:hint="default" w:ascii="Arial" w:hAnsi="Arial" w:eastAsia="Arial" w:cs="Arial"/>
          <w:i w:val="0"/>
          <w:caps w:val="0"/>
          <w:color w:val="2F2F2F"/>
          <w:spacing w:val="0"/>
          <w:sz w:val="27"/>
          <w:szCs w:val="27"/>
          <w:shd w:val="clear" w:fill="FFFFFF"/>
        </w:rPr>
        <w:t>共同犯罪人之间互相实施的窝藏、包庇行为，不以窝藏、包庇罪定罪处罚，但对共同犯罪以外的犯罪人实施窝藏、包庇行为的，以所犯共同犯罪和窝藏、包庇罪并罚。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0" w:lineRule="atLeast"/>
        <w:ind w:left="0" w:right="0"/>
      </w:pPr>
      <w:r>
        <w:rPr>
          <w:rStyle w:val="4"/>
          <w:rFonts w:hint="default" w:ascii="Arial" w:hAnsi="Arial" w:eastAsia="Arial" w:cs="Arial"/>
          <w:i w:val="0"/>
          <w:caps w:val="0"/>
          <w:color w:val="2F2F2F"/>
          <w:spacing w:val="0"/>
          <w:sz w:val="27"/>
          <w:szCs w:val="27"/>
          <w:shd w:val="clear" w:fill="FFFFFF"/>
        </w:rPr>
        <w:t>　　第九条</w:t>
      </w:r>
      <w:r>
        <w:rPr>
          <w:rFonts w:hint="default" w:ascii="Arial" w:hAnsi="Arial" w:eastAsia="Arial" w:cs="Arial"/>
          <w:i w:val="0"/>
          <w:caps w:val="0"/>
          <w:color w:val="2F2F2F"/>
          <w:spacing w:val="0"/>
          <w:sz w:val="27"/>
          <w:szCs w:val="27"/>
          <w:shd w:val="clear" w:fill="FFFFFF"/>
        </w:rPr>
        <w:t> 本解释自2021年8月11日起施行。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7D7D7" w:sz="6" w:space="0"/>
          <w:right w:val="none" w:color="auto" w:sz="0" w:space="0"/>
        </w:pBdr>
        <w:shd w:val="clear" w:fill="FFFFFF"/>
        <w:spacing w:before="0" w:beforeAutospacing="0" w:after="0" w:afterAutospacing="0" w:line="1800" w:lineRule="atLeast"/>
        <w:ind w:left="0" w:right="0" w:firstLine="0"/>
        <w:jc w:val="left"/>
        <w:rPr>
          <w:rFonts w:hint="default" w:ascii="Arial" w:hAnsi="Arial" w:eastAsia="Arial" w:cs="Arial"/>
          <w:i w:val="0"/>
          <w:caps w:val="0"/>
          <w:color w:val="7A7A7A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04D1D"/>
    <w:rsid w:val="5A27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2021-08-12T08:30:00Z</dcterms:created>
  <dc:creator>Administrator</dc:creator>
  <cp:lastModifiedBy>Administrator</cp:lastModifiedBy>
  <dcterms:modified xsi:type="dcterms:W3CDTF">2021-08-12T08:33:47Z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